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EFB" w:rsidRPr="002B0CFF" w:rsidRDefault="002B0CFF" w:rsidP="00233142">
      <w:pPr>
        <w:pBdr>
          <w:top w:val="single" w:sz="4" w:space="0" w:color="auto"/>
          <w:left w:val="single" w:sz="4" w:space="4" w:color="auto"/>
          <w:bottom w:val="single" w:sz="4" w:space="1" w:color="auto"/>
          <w:right w:val="single" w:sz="4" w:space="4" w:color="auto"/>
        </w:pBdr>
        <w:spacing w:after="0" w:line="240" w:lineRule="auto"/>
        <w:jc w:val="center"/>
        <w:rPr>
          <w:rFonts w:ascii="Arial" w:hAnsi="Arial" w:cs="Arial"/>
          <w:b/>
        </w:rPr>
      </w:pPr>
      <w:r w:rsidRPr="002B0CFF">
        <w:rPr>
          <w:rFonts w:ascii="Arial" w:hAnsi="Arial" w:cs="Arial"/>
          <w:b/>
        </w:rPr>
        <w:t xml:space="preserve">Annexe X. </w:t>
      </w:r>
      <w:r w:rsidR="00233142">
        <w:rPr>
          <w:rFonts w:ascii="Arial" w:hAnsi="Arial" w:cs="Arial"/>
          <w:b/>
        </w:rPr>
        <w:t>Autres</w:t>
      </w:r>
    </w:p>
    <w:p w:rsidR="002B0CFF" w:rsidRPr="002B0CFF" w:rsidRDefault="002B0CFF" w:rsidP="002B0CFF">
      <w:pPr>
        <w:spacing w:after="0" w:line="240" w:lineRule="auto"/>
        <w:jc w:val="both"/>
        <w:rPr>
          <w:rFonts w:ascii="Arial" w:hAnsi="Arial" w:cs="Arial"/>
        </w:rPr>
      </w:pPr>
    </w:p>
    <w:p w:rsidR="00233142" w:rsidRDefault="00233142" w:rsidP="002B0CFF">
      <w:pPr>
        <w:spacing w:after="0" w:line="240" w:lineRule="auto"/>
        <w:jc w:val="both"/>
        <w:rPr>
          <w:rFonts w:ascii="Arial" w:hAnsi="Arial" w:cs="Arial"/>
        </w:rPr>
      </w:pPr>
    </w:p>
    <w:p w:rsidR="00233142" w:rsidRPr="006C0950" w:rsidRDefault="006C0950" w:rsidP="006C0950">
      <w:pPr>
        <w:pStyle w:val="Paragraphedeliste"/>
        <w:numPr>
          <w:ilvl w:val="0"/>
          <w:numId w:val="2"/>
        </w:numPr>
        <w:spacing w:after="0" w:line="240" w:lineRule="auto"/>
        <w:rPr>
          <w:rFonts w:ascii="Arial" w:hAnsi="Arial" w:cs="Arial"/>
          <w:b/>
        </w:rPr>
      </w:pPr>
      <w:r w:rsidRPr="006C0950">
        <w:rPr>
          <w:rFonts w:ascii="Arial" w:hAnsi="Arial" w:cs="Arial"/>
          <w:b/>
        </w:rPr>
        <w:t>La fongibilité DAF – FIR</w:t>
      </w:r>
    </w:p>
    <w:p w:rsidR="006C0950" w:rsidRPr="006C0950" w:rsidRDefault="006C0950" w:rsidP="006C0950">
      <w:pPr>
        <w:spacing w:after="0" w:line="240" w:lineRule="auto"/>
        <w:rPr>
          <w:rFonts w:ascii="Arial" w:hAnsi="Arial" w:cs="Arial"/>
        </w:rPr>
      </w:pPr>
    </w:p>
    <w:p w:rsidR="002B0CFF" w:rsidRPr="002B0CFF" w:rsidRDefault="002B0CFF" w:rsidP="002B0CFF">
      <w:pPr>
        <w:spacing w:after="0" w:line="240" w:lineRule="auto"/>
        <w:jc w:val="both"/>
        <w:rPr>
          <w:rFonts w:ascii="Arial" w:hAnsi="Arial" w:cs="Arial"/>
        </w:rPr>
      </w:pPr>
      <w:r w:rsidRPr="002B0CFF">
        <w:rPr>
          <w:rFonts w:ascii="Arial" w:hAnsi="Arial" w:cs="Arial"/>
        </w:rPr>
        <w:t>La LFSS pour 2014 a crée l’article L.174-1-2 du code de la sécurité sociale, qui vous donne la possibilité de transférer une part de votre dotation DAF vers le FIR, et inversement. Les montants potentiellement transférables, qui ne pourront représenter plus de 1 % de chacune des dotations, seront précisés en annexe de chacun des arrêtés vous délégant une de ces deux dotations.</w:t>
      </w:r>
    </w:p>
    <w:p w:rsidR="002B0CFF" w:rsidRPr="002B0CFF" w:rsidRDefault="002B0CFF" w:rsidP="002B0CFF">
      <w:pPr>
        <w:spacing w:after="0" w:line="240" w:lineRule="auto"/>
        <w:jc w:val="both"/>
        <w:rPr>
          <w:rFonts w:ascii="Arial" w:hAnsi="Arial" w:cs="Arial"/>
        </w:rPr>
      </w:pPr>
    </w:p>
    <w:p w:rsidR="002B0CFF" w:rsidRPr="002B0CFF" w:rsidRDefault="002B0CFF" w:rsidP="002B0CFF">
      <w:pPr>
        <w:spacing w:after="0" w:line="240" w:lineRule="auto"/>
        <w:jc w:val="both"/>
        <w:rPr>
          <w:rFonts w:ascii="Arial" w:hAnsi="Arial" w:cs="Arial"/>
        </w:rPr>
      </w:pPr>
      <w:r w:rsidRPr="002B0CFF">
        <w:rPr>
          <w:rFonts w:ascii="Arial" w:hAnsi="Arial" w:cs="Arial"/>
        </w:rPr>
        <w:t>L’opportunité de ces transferts relève de votre seule appréciation ; aussi mes services ne devront-ils s’assurer que du seul respect du montant maximal défini par les arrêtés précédemment mentionnés.</w:t>
      </w:r>
    </w:p>
    <w:p w:rsidR="002B0CFF" w:rsidRPr="002B0CFF" w:rsidRDefault="002B0CFF" w:rsidP="002B0CFF">
      <w:pPr>
        <w:spacing w:after="0" w:line="240" w:lineRule="auto"/>
        <w:jc w:val="both"/>
        <w:rPr>
          <w:rFonts w:ascii="Arial" w:hAnsi="Arial" w:cs="Arial"/>
        </w:rPr>
      </w:pPr>
    </w:p>
    <w:p w:rsidR="002B0CFF" w:rsidRPr="002B0CFF" w:rsidRDefault="002B0CFF" w:rsidP="002B0CFF">
      <w:pPr>
        <w:spacing w:after="0" w:line="240" w:lineRule="auto"/>
        <w:jc w:val="both"/>
        <w:rPr>
          <w:rFonts w:ascii="Arial" w:hAnsi="Arial" w:cs="Arial"/>
        </w:rPr>
      </w:pPr>
      <w:r w:rsidRPr="002B0CFF">
        <w:rPr>
          <w:rFonts w:ascii="Arial" w:hAnsi="Arial" w:cs="Arial"/>
        </w:rPr>
        <w:t>L’outil d’allocation des ressources HAPI prendra en charge ce dispositif à compter de 2015. Aussi, pour l’exercice 2014, tout transfert effectué au titre de l’article L174-1-2 du code de la sécurité sociale devra suivre la procédure suivante :</w:t>
      </w:r>
    </w:p>
    <w:p w:rsidR="002B0CFF" w:rsidRPr="002B0CFF" w:rsidRDefault="002B0CFF" w:rsidP="002B0CFF">
      <w:pPr>
        <w:pStyle w:val="Paragraphedeliste"/>
        <w:numPr>
          <w:ilvl w:val="0"/>
          <w:numId w:val="1"/>
        </w:numPr>
        <w:spacing w:after="0" w:line="240" w:lineRule="auto"/>
        <w:rPr>
          <w:rFonts w:ascii="Arial" w:hAnsi="Arial" w:cs="Arial"/>
          <w:sz w:val="22"/>
          <w:szCs w:val="22"/>
        </w:rPr>
      </w:pPr>
      <w:r w:rsidRPr="002B0CFF">
        <w:rPr>
          <w:rFonts w:ascii="Arial" w:hAnsi="Arial" w:cs="Arial"/>
          <w:sz w:val="22"/>
          <w:szCs w:val="22"/>
        </w:rPr>
        <w:t>vos services transmettront à la DGOS (bureau R1), via la boîte fonctionnelle DGOS-FONGIBILITE, votre projet d’arrêté mentionnant le montant transféré ;</w:t>
      </w:r>
    </w:p>
    <w:p w:rsidR="002B0CFF" w:rsidRPr="002B0CFF" w:rsidRDefault="002B0CFF" w:rsidP="002B0CFF">
      <w:pPr>
        <w:pStyle w:val="Paragraphedeliste"/>
        <w:numPr>
          <w:ilvl w:val="0"/>
          <w:numId w:val="1"/>
        </w:numPr>
        <w:spacing w:after="0" w:line="240" w:lineRule="auto"/>
        <w:rPr>
          <w:rFonts w:ascii="Arial" w:hAnsi="Arial" w:cs="Arial"/>
          <w:sz w:val="22"/>
          <w:szCs w:val="22"/>
        </w:rPr>
      </w:pPr>
      <w:r w:rsidRPr="002B0CFF">
        <w:rPr>
          <w:rFonts w:ascii="Arial" w:hAnsi="Arial" w:cs="Arial"/>
          <w:sz w:val="22"/>
          <w:szCs w:val="22"/>
        </w:rPr>
        <w:t>la DGOS s’assurera du respect du montant maximal et, le cas échéant, transmettra à l’équipe projet HAPI le projet d’arrêté pour prise en compte dans l’outil HAPI ;</w:t>
      </w:r>
    </w:p>
    <w:p w:rsidR="002B0CFF" w:rsidRPr="002B0CFF" w:rsidRDefault="002B0CFF" w:rsidP="002B0CFF">
      <w:pPr>
        <w:pStyle w:val="Paragraphedeliste"/>
        <w:numPr>
          <w:ilvl w:val="0"/>
          <w:numId w:val="1"/>
        </w:numPr>
        <w:spacing w:after="0" w:line="240" w:lineRule="auto"/>
        <w:rPr>
          <w:rFonts w:ascii="Arial" w:hAnsi="Arial" w:cs="Arial"/>
          <w:sz w:val="22"/>
          <w:szCs w:val="22"/>
        </w:rPr>
      </w:pPr>
      <w:r w:rsidRPr="002B0CFF">
        <w:rPr>
          <w:rFonts w:ascii="Arial" w:hAnsi="Arial" w:cs="Arial"/>
          <w:sz w:val="22"/>
          <w:szCs w:val="22"/>
        </w:rPr>
        <w:t>la DGOS vous informera de la prise en compte de votre transfert et de la mise à jour de l’outil HAPI ou, le cas échéant, du refus de prise en compte (pour le motif mentionné précédemment) ;</w:t>
      </w:r>
    </w:p>
    <w:p w:rsidR="002B0CFF" w:rsidRPr="002B0CFF" w:rsidRDefault="002B0CFF" w:rsidP="002B0CFF">
      <w:pPr>
        <w:pStyle w:val="Paragraphedeliste"/>
        <w:numPr>
          <w:ilvl w:val="0"/>
          <w:numId w:val="1"/>
        </w:numPr>
        <w:spacing w:after="0" w:line="240" w:lineRule="auto"/>
        <w:rPr>
          <w:rFonts w:ascii="Arial" w:hAnsi="Arial" w:cs="Arial"/>
          <w:sz w:val="22"/>
          <w:szCs w:val="22"/>
        </w:rPr>
      </w:pPr>
      <w:r w:rsidRPr="002B0CFF">
        <w:rPr>
          <w:rFonts w:ascii="Arial" w:hAnsi="Arial" w:cs="Arial"/>
          <w:sz w:val="22"/>
          <w:szCs w:val="22"/>
        </w:rPr>
        <w:t>dans le cas d’un retour favorable, vous pourrez procéder à la publication de l’arrêté décidant du transfert, dont l’effectivité sera immédiate.</w:t>
      </w:r>
    </w:p>
    <w:p w:rsidR="002B0CFF" w:rsidRPr="002B0CFF" w:rsidRDefault="002B0CFF" w:rsidP="002B0CFF">
      <w:pPr>
        <w:spacing w:after="0" w:line="240" w:lineRule="auto"/>
        <w:jc w:val="both"/>
        <w:rPr>
          <w:rFonts w:ascii="Arial" w:hAnsi="Arial" w:cs="Arial"/>
        </w:rPr>
      </w:pPr>
    </w:p>
    <w:p w:rsidR="002B0CFF" w:rsidRPr="002B0CFF" w:rsidRDefault="002B0CFF" w:rsidP="002B0CFF">
      <w:pPr>
        <w:spacing w:after="0" w:line="240" w:lineRule="auto"/>
        <w:jc w:val="both"/>
        <w:rPr>
          <w:rFonts w:ascii="Arial" w:hAnsi="Arial" w:cs="Arial"/>
        </w:rPr>
      </w:pPr>
      <w:r w:rsidRPr="002B0CFF">
        <w:rPr>
          <w:rFonts w:ascii="Arial" w:hAnsi="Arial" w:cs="Arial"/>
        </w:rPr>
        <w:t xml:space="preserve">Je vous remercie de communiquer au bureau R1 les difficultés que vous pourriez rencontrer dans la mise en œuvre de ce dispositif. </w:t>
      </w:r>
    </w:p>
    <w:p w:rsidR="002B0CFF" w:rsidRPr="002B0CFF" w:rsidRDefault="002B0CFF" w:rsidP="002B0CFF">
      <w:pPr>
        <w:spacing w:after="0" w:line="240" w:lineRule="auto"/>
        <w:jc w:val="both"/>
        <w:rPr>
          <w:rFonts w:ascii="Arial" w:hAnsi="Arial" w:cs="Arial"/>
        </w:rPr>
      </w:pPr>
    </w:p>
    <w:p w:rsidR="002B0CFF" w:rsidRPr="002B0CFF" w:rsidRDefault="002B0CFF" w:rsidP="002B0CFF">
      <w:pPr>
        <w:spacing w:after="0" w:line="240" w:lineRule="auto"/>
        <w:jc w:val="both"/>
        <w:rPr>
          <w:rFonts w:ascii="Arial" w:hAnsi="Arial" w:cs="Arial"/>
        </w:rPr>
      </w:pPr>
    </w:p>
    <w:p w:rsidR="002B0CFF" w:rsidRPr="006C0950" w:rsidRDefault="006C0950" w:rsidP="006C0950">
      <w:pPr>
        <w:pStyle w:val="Paragraphedeliste"/>
        <w:numPr>
          <w:ilvl w:val="0"/>
          <w:numId w:val="2"/>
        </w:numPr>
        <w:spacing w:after="0" w:line="240" w:lineRule="auto"/>
        <w:rPr>
          <w:rFonts w:ascii="Arial" w:hAnsi="Arial" w:cs="Arial"/>
          <w:b/>
        </w:rPr>
      </w:pPr>
      <w:r w:rsidRPr="00793AD1">
        <w:rPr>
          <w:rFonts w:ascii="Arial" w:hAnsi="Arial" w:cs="Arial"/>
          <w:b/>
        </w:rPr>
        <w:t>Financement des études nationales des coûts</w:t>
      </w:r>
    </w:p>
    <w:p w:rsidR="002B0CFF" w:rsidRPr="002B0CFF" w:rsidRDefault="002B0CFF" w:rsidP="002B0CFF">
      <w:pPr>
        <w:spacing w:after="0" w:line="240" w:lineRule="auto"/>
        <w:jc w:val="both"/>
        <w:rPr>
          <w:rFonts w:ascii="Arial" w:hAnsi="Arial" w:cs="Arial"/>
        </w:rPr>
      </w:pPr>
    </w:p>
    <w:p w:rsidR="006C0950" w:rsidRDefault="006C0950" w:rsidP="006C0950">
      <w:pPr>
        <w:autoSpaceDE w:val="0"/>
        <w:autoSpaceDN w:val="0"/>
        <w:adjustRightInd w:val="0"/>
        <w:spacing w:after="0" w:line="240" w:lineRule="auto"/>
        <w:jc w:val="both"/>
        <w:rPr>
          <w:rFonts w:ascii="Arial" w:hAnsi="Arial" w:cs="Arial"/>
          <w:b/>
        </w:rPr>
      </w:pPr>
    </w:p>
    <w:p w:rsidR="006C0950" w:rsidRPr="00EC642B" w:rsidRDefault="006C0950" w:rsidP="006C0950">
      <w:pPr>
        <w:autoSpaceDE w:val="0"/>
        <w:autoSpaceDN w:val="0"/>
        <w:adjustRightInd w:val="0"/>
        <w:spacing w:after="0" w:line="240" w:lineRule="auto"/>
        <w:jc w:val="both"/>
        <w:rPr>
          <w:rFonts w:ascii="Arial" w:hAnsi="Arial" w:cs="Arial"/>
          <w:b/>
        </w:rPr>
      </w:pPr>
      <w:r w:rsidRPr="00EC642B">
        <w:rPr>
          <w:rFonts w:ascii="Arial" w:hAnsi="Arial" w:cs="Arial"/>
          <w:b/>
        </w:rPr>
        <w:t>Evolution des modalités de gestion du financement des ENC</w:t>
      </w:r>
    </w:p>
    <w:p w:rsidR="006C0950" w:rsidRPr="00EC642B" w:rsidRDefault="006C0950" w:rsidP="006C0950">
      <w:pPr>
        <w:autoSpaceDE w:val="0"/>
        <w:autoSpaceDN w:val="0"/>
        <w:adjustRightInd w:val="0"/>
        <w:spacing w:after="0" w:line="240" w:lineRule="auto"/>
        <w:jc w:val="both"/>
        <w:rPr>
          <w:rFonts w:ascii="Arial" w:hAnsi="Arial" w:cs="Arial"/>
        </w:rPr>
      </w:pPr>
    </w:p>
    <w:p w:rsidR="006C0950" w:rsidRPr="00EC642B" w:rsidRDefault="006C0950" w:rsidP="006C0950">
      <w:pPr>
        <w:spacing w:after="0" w:line="240" w:lineRule="auto"/>
        <w:jc w:val="both"/>
        <w:rPr>
          <w:rFonts w:ascii="Arial" w:eastAsia="MS PGothic" w:hAnsi="Arial" w:cs="Arial"/>
        </w:rPr>
      </w:pPr>
      <w:r w:rsidRPr="00EC642B">
        <w:rPr>
          <w:rFonts w:ascii="Arial" w:eastAsia="MS PGothic" w:hAnsi="Arial" w:cs="Arial"/>
        </w:rPr>
        <w:t>L’ATIH reprend la gestion administrative et financière des ENC à compter de la campagne ENC 2014. Les établissements participants seront donc rémunérés directement par l’ATIH via sa dotation FMESPP. Le financement des reliquats des campagnes ENC précédentes (Part variables 2012 et 2013, déléguées respectivement en 1</w:t>
      </w:r>
      <w:r w:rsidRPr="00EC642B">
        <w:rPr>
          <w:rFonts w:ascii="Arial" w:eastAsia="MS PGothic" w:hAnsi="Arial" w:cs="Arial"/>
          <w:vertAlign w:val="superscript"/>
        </w:rPr>
        <w:t>ère</w:t>
      </w:r>
      <w:r w:rsidRPr="00EC642B">
        <w:rPr>
          <w:rFonts w:ascii="Arial" w:eastAsia="MS PGothic" w:hAnsi="Arial" w:cs="Arial"/>
        </w:rPr>
        <w:t xml:space="preserve"> circulaire de campagne 2014 et 2015) restera alloué par les vecteurs actuels (MIG, DAF, FMESPP).</w:t>
      </w:r>
    </w:p>
    <w:p w:rsidR="006C0950" w:rsidRPr="00EC642B" w:rsidRDefault="006C0950" w:rsidP="006C0950">
      <w:pPr>
        <w:autoSpaceDE w:val="0"/>
        <w:autoSpaceDN w:val="0"/>
        <w:adjustRightInd w:val="0"/>
        <w:spacing w:after="0" w:line="240" w:lineRule="auto"/>
        <w:jc w:val="both"/>
        <w:rPr>
          <w:rFonts w:ascii="Arial" w:hAnsi="Arial" w:cs="Arial"/>
        </w:rPr>
      </w:pPr>
    </w:p>
    <w:p w:rsidR="006C0950" w:rsidRPr="00EC642B" w:rsidRDefault="006C0950" w:rsidP="006C0950">
      <w:pPr>
        <w:spacing w:after="0" w:line="240" w:lineRule="auto"/>
        <w:rPr>
          <w:rFonts w:ascii="Arial" w:hAnsi="Arial" w:cs="Arial"/>
          <w:b/>
        </w:rPr>
      </w:pPr>
      <w:r w:rsidRPr="00EC642B">
        <w:rPr>
          <w:rFonts w:ascii="Arial" w:hAnsi="Arial" w:cs="Arial"/>
          <w:b/>
        </w:rPr>
        <w:t>Concernant le f</w:t>
      </w:r>
      <w:r>
        <w:rPr>
          <w:rFonts w:ascii="Arial" w:hAnsi="Arial" w:cs="Arial"/>
          <w:b/>
        </w:rPr>
        <w:t>inancement des études en cours </w:t>
      </w:r>
    </w:p>
    <w:p w:rsidR="006C0950" w:rsidRDefault="006C0950" w:rsidP="006C0950">
      <w:pPr>
        <w:autoSpaceDE w:val="0"/>
        <w:autoSpaceDN w:val="0"/>
        <w:adjustRightInd w:val="0"/>
        <w:spacing w:after="0" w:line="240" w:lineRule="auto"/>
        <w:jc w:val="both"/>
        <w:rPr>
          <w:rFonts w:ascii="Arial" w:hAnsi="Arial" w:cs="Arial"/>
        </w:rPr>
      </w:pPr>
    </w:p>
    <w:p w:rsidR="006C0950" w:rsidRPr="00EC642B" w:rsidRDefault="006C0950" w:rsidP="006C0950">
      <w:pPr>
        <w:autoSpaceDE w:val="0"/>
        <w:autoSpaceDN w:val="0"/>
        <w:adjustRightInd w:val="0"/>
        <w:spacing w:after="0" w:line="240" w:lineRule="auto"/>
        <w:jc w:val="both"/>
        <w:rPr>
          <w:rFonts w:ascii="Arial" w:hAnsi="Arial" w:cs="Arial"/>
        </w:rPr>
      </w:pPr>
      <w:r w:rsidRPr="00EC642B">
        <w:rPr>
          <w:rFonts w:ascii="Arial" w:hAnsi="Arial" w:cs="Arial"/>
        </w:rPr>
        <w:t xml:space="preserve">Les crédits qui vous sont délégués pour un montant de </w:t>
      </w:r>
      <w:r w:rsidRPr="0088552B">
        <w:rPr>
          <w:rFonts w:ascii="Arial" w:hAnsi="Arial" w:cs="Arial"/>
          <w:b/>
        </w:rPr>
        <w:t>1,66M€</w:t>
      </w:r>
      <w:r w:rsidRPr="00EC642B">
        <w:rPr>
          <w:rFonts w:ascii="Arial" w:hAnsi="Arial" w:cs="Arial"/>
        </w:rPr>
        <w:t>, concernent le financement de la part variable relative à la participation des établissements à l’ENC MCO, l’ENC HAD et à l’ENC SSR (établissements sous DAF</w:t>
      </w:r>
      <w:r w:rsidRPr="00EC642B">
        <w:rPr>
          <w:rFonts w:ascii="Arial" w:hAnsi="Arial" w:cs="Arial"/>
          <w:vertAlign w:val="superscript"/>
        </w:rPr>
        <w:footnoteReference w:id="1"/>
      </w:r>
      <w:r w:rsidRPr="00EC642B">
        <w:rPr>
          <w:rFonts w:ascii="Arial" w:hAnsi="Arial" w:cs="Arial"/>
        </w:rPr>
        <w:t>) 2012. Il est également tenu compte des régularisations liées aux versements antérieurs en fonction de la participation effective des établissements.</w:t>
      </w:r>
    </w:p>
    <w:p w:rsidR="006C0950" w:rsidRPr="00EC642B" w:rsidRDefault="006C0950" w:rsidP="006C0950">
      <w:pPr>
        <w:spacing w:after="0" w:line="240" w:lineRule="auto"/>
        <w:rPr>
          <w:rFonts w:ascii="Arial" w:hAnsi="Arial" w:cs="Arial"/>
        </w:rPr>
      </w:pPr>
    </w:p>
    <w:p w:rsidR="002B0CFF" w:rsidRPr="002B0CFF" w:rsidRDefault="002B0CFF" w:rsidP="002B0CFF">
      <w:pPr>
        <w:spacing w:after="0" w:line="240" w:lineRule="auto"/>
        <w:jc w:val="both"/>
        <w:rPr>
          <w:rFonts w:ascii="Arial" w:hAnsi="Arial" w:cs="Arial"/>
        </w:rPr>
      </w:pPr>
    </w:p>
    <w:p w:rsidR="00CC67E8" w:rsidRPr="00CC67E8" w:rsidRDefault="00CC67E8" w:rsidP="00CC67E8">
      <w:pPr>
        <w:pStyle w:val="Paragraphedeliste"/>
        <w:numPr>
          <w:ilvl w:val="0"/>
          <w:numId w:val="2"/>
        </w:numPr>
        <w:spacing w:after="0" w:line="240" w:lineRule="auto"/>
        <w:rPr>
          <w:rFonts w:ascii="Arial" w:hAnsi="Arial" w:cs="Arial"/>
          <w:b/>
        </w:rPr>
      </w:pPr>
      <w:r w:rsidRPr="00CC67E8">
        <w:rPr>
          <w:rFonts w:ascii="Arial" w:hAnsi="Arial" w:cs="Arial"/>
          <w:b/>
        </w:rPr>
        <w:t xml:space="preserve">Le versement au titre du crédit d’impôt compétitivité emploi (CICE) </w:t>
      </w:r>
    </w:p>
    <w:p w:rsidR="00CC67E8" w:rsidRDefault="00CC67E8" w:rsidP="00CC67E8">
      <w:pPr>
        <w:pStyle w:val="Pieddepage"/>
        <w:tabs>
          <w:tab w:val="clear" w:pos="4536"/>
          <w:tab w:val="clear" w:pos="9072"/>
          <w:tab w:val="right" w:pos="-1843"/>
        </w:tabs>
        <w:ind w:left="1288"/>
        <w:rPr>
          <w:rFonts w:cs="Arial"/>
          <w:b/>
          <w:szCs w:val="22"/>
        </w:rPr>
      </w:pPr>
    </w:p>
    <w:p w:rsidR="0072162C" w:rsidRDefault="0072162C" w:rsidP="0072162C">
      <w:pPr>
        <w:pStyle w:val="Default"/>
        <w:jc w:val="both"/>
        <w:rPr>
          <w:sz w:val="22"/>
          <w:szCs w:val="22"/>
        </w:rPr>
      </w:pPr>
      <w:r>
        <w:rPr>
          <w:sz w:val="22"/>
          <w:szCs w:val="22"/>
        </w:rPr>
        <w:t>La présente circulaire actualise, sur la base des dernières données d’activité disponibles sur 2013, les montants AC alloués</w:t>
      </w:r>
      <w:r w:rsidR="005302F7">
        <w:rPr>
          <w:sz w:val="22"/>
          <w:szCs w:val="22"/>
        </w:rPr>
        <w:t xml:space="preserve"> en non reconductibles</w:t>
      </w:r>
      <w:r>
        <w:rPr>
          <w:sz w:val="22"/>
          <w:szCs w:val="22"/>
        </w:rPr>
        <w:t>, par la circulaire du 13 décembre 2013, aux établissements privés à but non lucratif du champ MCO ex-OQN ne bénéficiant pas de l’avantage fiscal du CICE mais dont les tarifs 2013 ont néanmoins été impactés.</w:t>
      </w:r>
    </w:p>
    <w:p w:rsidR="0072162C" w:rsidRDefault="0072162C" w:rsidP="0072162C">
      <w:pPr>
        <w:pStyle w:val="Default"/>
        <w:jc w:val="both"/>
        <w:rPr>
          <w:sz w:val="22"/>
          <w:szCs w:val="22"/>
        </w:rPr>
      </w:pPr>
    </w:p>
    <w:p w:rsidR="0072162C" w:rsidRDefault="0072162C" w:rsidP="0072162C">
      <w:pPr>
        <w:pStyle w:val="Default"/>
        <w:jc w:val="both"/>
        <w:rPr>
          <w:sz w:val="22"/>
          <w:szCs w:val="22"/>
        </w:rPr>
      </w:pPr>
      <w:r>
        <w:rPr>
          <w:sz w:val="22"/>
          <w:szCs w:val="22"/>
        </w:rPr>
        <w:t xml:space="preserve">Le complément de crédits ainsi accordés au titre du différentiel entre l’impact calculé sur la base des données 2012 et déjà délégué et celui fondé sur l’année 2013, s’élève à </w:t>
      </w:r>
      <w:r w:rsidR="00486442">
        <w:rPr>
          <w:b/>
          <w:sz w:val="22"/>
          <w:szCs w:val="22"/>
        </w:rPr>
        <w:t>0,2</w:t>
      </w:r>
      <w:r w:rsidRPr="005C0E22">
        <w:rPr>
          <w:b/>
          <w:sz w:val="22"/>
          <w:szCs w:val="22"/>
        </w:rPr>
        <w:t>M€</w:t>
      </w:r>
      <w:r>
        <w:rPr>
          <w:sz w:val="22"/>
          <w:szCs w:val="22"/>
        </w:rPr>
        <w:t xml:space="preserve">. </w:t>
      </w:r>
    </w:p>
    <w:p w:rsidR="002B0CFF" w:rsidRPr="002B0CFF" w:rsidRDefault="002B0CFF" w:rsidP="002B0CFF">
      <w:pPr>
        <w:spacing w:after="0" w:line="240" w:lineRule="auto"/>
        <w:jc w:val="both"/>
        <w:rPr>
          <w:rFonts w:ascii="Arial" w:hAnsi="Arial" w:cs="Arial"/>
        </w:rPr>
      </w:pPr>
    </w:p>
    <w:p w:rsidR="002B0CFF" w:rsidRPr="002B0CFF" w:rsidRDefault="002B0CFF" w:rsidP="002B0CFF">
      <w:pPr>
        <w:spacing w:after="0" w:line="240" w:lineRule="auto"/>
        <w:jc w:val="both"/>
        <w:rPr>
          <w:rFonts w:ascii="Arial" w:hAnsi="Arial" w:cs="Arial"/>
        </w:rPr>
      </w:pPr>
    </w:p>
    <w:p w:rsidR="002B0CFF" w:rsidRDefault="002B0CFF" w:rsidP="002B0CFF">
      <w:pPr>
        <w:spacing w:after="0" w:line="240" w:lineRule="auto"/>
        <w:jc w:val="both"/>
        <w:rPr>
          <w:rFonts w:ascii="Arial" w:hAnsi="Arial" w:cs="Arial"/>
        </w:rPr>
      </w:pPr>
    </w:p>
    <w:p w:rsidR="002B0CFF" w:rsidRPr="002B0CFF" w:rsidRDefault="002B0CFF" w:rsidP="002B0CFF">
      <w:pPr>
        <w:spacing w:after="0" w:line="240" w:lineRule="auto"/>
        <w:jc w:val="both"/>
        <w:rPr>
          <w:rFonts w:ascii="Arial" w:hAnsi="Arial" w:cs="Arial"/>
        </w:rPr>
      </w:pPr>
    </w:p>
    <w:sectPr w:rsidR="002B0CFF" w:rsidRPr="002B0CFF" w:rsidSect="002A7EFB">
      <w:footerReference w:type="default" r:id="rId7"/>
      <w:pgSz w:w="11906" w:h="16838"/>
      <w:pgMar w:top="1417" w:right="1417" w:bottom="1417" w:left="1417" w:header="708" w:footer="708"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60EC" w:rsidRDefault="00D660EC" w:rsidP="006C0950">
      <w:pPr>
        <w:spacing w:after="0" w:line="240" w:lineRule="auto"/>
      </w:pPr>
      <w:r>
        <w:separator/>
      </w:r>
    </w:p>
  </w:endnote>
  <w:endnote w:type="continuationSeparator" w:id="0">
    <w:p w:rsidR="00D660EC" w:rsidRDefault="00D660EC" w:rsidP="006C09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MS PGothic">
    <w:panose1 w:val="00000000000000000000"/>
    <w:charset w:val="80"/>
    <w:family w:val="roman"/>
    <w:notTrueType/>
    <w:pitch w:val="default"/>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469751"/>
      <w:docPartObj>
        <w:docPartGallery w:val="Page Numbers (Bottom of Page)"/>
        <w:docPartUnique/>
      </w:docPartObj>
    </w:sdtPr>
    <w:sdtContent>
      <w:p w:rsidR="00C56536" w:rsidRDefault="009B53EC">
        <w:pPr>
          <w:pStyle w:val="Pieddepage"/>
          <w:jc w:val="right"/>
        </w:pPr>
        <w:fldSimple w:instr=" PAGE   \* MERGEFORMAT ">
          <w:r w:rsidR="00216F82">
            <w:rPr>
              <w:noProof/>
            </w:rPr>
            <w:t>2</w:t>
          </w:r>
        </w:fldSimple>
      </w:p>
    </w:sdtContent>
  </w:sdt>
  <w:p w:rsidR="00C56536" w:rsidRDefault="00C56536">
    <w:pPr>
      <w:pStyle w:val="Pieddepage"/>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60EC" w:rsidRDefault="00D660EC" w:rsidP="006C0950">
      <w:pPr>
        <w:spacing w:after="0" w:line="240" w:lineRule="auto"/>
      </w:pPr>
      <w:r>
        <w:separator/>
      </w:r>
    </w:p>
  </w:footnote>
  <w:footnote w:type="continuationSeparator" w:id="0">
    <w:p w:rsidR="00D660EC" w:rsidRDefault="00D660EC" w:rsidP="006C0950">
      <w:pPr>
        <w:spacing w:after="0" w:line="240" w:lineRule="auto"/>
      </w:pPr>
      <w:r>
        <w:continuationSeparator/>
      </w:r>
    </w:p>
  </w:footnote>
  <w:footnote w:id="1">
    <w:p w:rsidR="006C0950" w:rsidRPr="005F36D4" w:rsidRDefault="006C0950" w:rsidP="006C0950">
      <w:pPr>
        <w:pStyle w:val="Notedebasdepage"/>
        <w:jc w:val="both"/>
        <w:rPr>
          <w:sz w:val="18"/>
          <w:szCs w:val="18"/>
        </w:rPr>
      </w:pPr>
      <w:r w:rsidRPr="005F36D4">
        <w:rPr>
          <w:rStyle w:val="Marquenotebasdepage"/>
          <w:sz w:val="18"/>
          <w:szCs w:val="18"/>
        </w:rPr>
        <w:footnoteRef/>
      </w:r>
      <w:r w:rsidRPr="005F36D4">
        <w:rPr>
          <w:sz w:val="18"/>
          <w:szCs w:val="18"/>
        </w:rPr>
        <w:t xml:space="preserve"> Le financement des établissements sous objectif quantifié national doit intervenir en parallèle dans le cadre de la circulaire de délégation des crédits FMESPP.  </w:t>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15D7C"/>
    <w:multiLevelType w:val="hybridMultilevel"/>
    <w:tmpl w:val="766806A0"/>
    <w:lvl w:ilvl="0" w:tplc="161457D4">
      <w:start w:val="1"/>
      <w:numFmt w:val="bullet"/>
      <w:lvlText w:val="-"/>
      <w:lvlJc w:val="left"/>
      <w:pPr>
        <w:tabs>
          <w:tab w:val="num" w:pos="720"/>
        </w:tabs>
        <w:ind w:left="720" w:hanging="360"/>
      </w:pPr>
      <w:rPr>
        <w:rFonts w:ascii="Arial" w:eastAsia="Times New Roman" w:hAnsi="Arial" w:cs="Times New Roman" w:hint="default"/>
      </w:rPr>
    </w:lvl>
    <w:lvl w:ilvl="1" w:tplc="C1D6E4CE">
      <w:start w:val="1"/>
      <w:numFmt w:val="decimal"/>
      <w:lvlText w:val="%2."/>
      <w:lvlJc w:val="left"/>
      <w:pPr>
        <w:tabs>
          <w:tab w:val="num" w:pos="1560"/>
        </w:tabs>
        <w:ind w:left="1560" w:hanging="360"/>
      </w:pPr>
      <w:rPr>
        <w:rFonts w:cs="Times New Roman"/>
      </w:rPr>
    </w:lvl>
    <w:lvl w:ilvl="2" w:tplc="040C0005">
      <w:start w:val="1"/>
      <w:numFmt w:val="bullet"/>
      <w:lvlText w:val=""/>
      <w:lvlJc w:val="left"/>
      <w:pPr>
        <w:tabs>
          <w:tab w:val="num" w:pos="2160"/>
        </w:tabs>
        <w:ind w:left="2160" w:hanging="360"/>
      </w:pPr>
      <w:rPr>
        <w:rFonts w:ascii="Wingdings" w:hAnsi="Wingdings" w:hint="default"/>
      </w:rPr>
    </w:lvl>
    <w:lvl w:ilvl="3" w:tplc="4A4CC788">
      <w:start w:val="1"/>
      <w:numFmt w:val="bullet"/>
      <w:lvlText w:val=""/>
      <w:lvlJc w:val="left"/>
      <w:pPr>
        <w:ind w:left="2880" w:hanging="360"/>
      </w:pPr>
      <w:rPr>
        <w:rFonts w:ascii="Wingdings" w:eastAsia="Times New Roman" w:hAnsi="Wingdings" w:hint="default"/>
        <w:b/>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1">
    <w:nsid w:val="1C632C71"/>
    <w:multiLevelType w:val="hybridMultilevel"/>
    <w:tmpl w:val="C258364E"/>
    <w:lvl w:ilvl="0" w:tplc="5386CD44">
      <w:start w:val="1"/>
      <w:numFmt w:val="upperRoman"/>
      <w:lvlText w:val="%1."/>
      <w:lvlJc w:val="left"/>
      <w:pPr>
        <w:ind w:left="1288" w:hanging="720"/>
      </w:pPr>
      <w:rPr>
        <w:rFonts w:cs="Times New Roman" w:hint="default"/>
      </w:rPr>
    </w:lvl>
    <w:lvl w:ilvl="1" w:tplc="040C0019" w:tentative="1">
      <w:start w:val="1"/>
      <w:numFmt w:val="lowerLetter"/>
      <w:lvlText w:val="%2."/>
      <w:lvlJc w:val="left"/>
      <w:pPr>
        <w:ind w:left="1785" w:hanging="360"/>
      </w:pPr>
      <w:rPr>
        <w:rFonts w:cs="Times New Roman"/>
      </w:rPr>
    </w:lvl>
    <w:lvl w:ilvl="2" w:tplc="040C001B" w:tentative="1">
      <w:start w:val="1"/>
      <w:numFmt w:val="lowerRoman"/>
      <w:lvlText w:val="%3."/>
      <w:lvlJc w:val="right"/>
      <w:pPr>
        <w:ind w:left="2505" w:hanging="180"/>
      </w:pPr>
      <w:rPr>
        <w:rFonts w:cs="Times New Roman"/>
      </w:rPr>
    </w:lvl>
    <w:lvl w:ilvl="3" w:tplc="040C000F" w:tentative="1">
      <w:start w:val="1"/>
      <w:numFmt w:val="decimal"/>
      <w:lvlText w:val="%4."/>
      <w:lvlJc w:val="left"/>
      <w:pPr>
        <w:ind w:left="3225" w:hanging="360"/>
      </w:pPr>
      <w:rPr>
        <w:rFonts w:cs="Times New Roman"/>
      </w:rPr>
    </w:lvl>
    <w:lvl w:ilvl="4" w:tplc="040C0019" w:tentative="1">
      <w:start w:val="1"/>
      <w:numFmt w:val="lowerLetter"/>
      <w:lvlText w:val="%5."/>
      <w:lvlJc w:val="left"/>
      <w:pPr>
        <w:ind w:left="3945" w:hanging="360"/>
      </w:pPr>
      <w:rPr>
        <w:rFonts w:cs="Times New Roman"/>
      </w:rPr>
    </w:lvl>
    <w:lvl w:ilvl="5" w:tplc="040C001B" w:tentative="1">
      <w:start w:val="1"/>
      <w:numFmt w:val="lowerRoman"/>
      <w:lvlText w:val="%6."/>
      <w:lvlJc w:val="right"/>
      <w:pPr>
        <w:ind w:left="4665" w:hanging="180"/>
      </w:pPr>
      <w:rPr>
        <w:rFonts w:cs="Times New Roman"/>
      </w:rPr>
    </w:lvl>
    <w:lvl w:ilvl="6" w:tplc="040C000F" w:tentative="1">
      <w:start w:val="1"/>
      <w:numFmt w:val="decimal"/>
      <w:lvlText w:val="%7."/>
      <w:lvlJc w:val="left"/>
      <w:pPr>
        <w:ind w:left="5385" w:hanging="360"/>
      </w:pPr>
      <w:rPr>
        <w:rFonts w:cs="Times New Roman"/>
      </w:rPr>
    </w:lvl>
    <w:lvl w:ilvl="7" w:tplc="040C0019" w:tentative="1">
      <w:start w:val="1"/>
      <w:numFmt w:val="lowerLetter"/>
      <w:lvlText w:val="%8."/>
      <w:lvlJc w:val="left"/>
      <w:pPr>
        <w:ind w:left="6105" w:hanging="360"/>
      </w:pPr>
      <w:rPr>
        <w:rFonts w:cs="Times New Roman"/>
      </w:rPr>
    </w:lvl>
    <w:lvl w:ilvl="8" w:tplc="040C001B" w:tentative="1">
      <w:start w:val="1"/>
      <w:numFmt w:val="lowerRoman"/>
      <w:lvlText w:val="%9."/>
      <w:lvlJc w:val="right"/>
      <w:pPr>
        <w:ind w:left="6825" w:hanging="180"/>
      </w:pPr>
      <w:rPr>
        <w:rFonts w:cs="Times New Roman"/>
      </w:rPr>
    </w:lvl>
  </w:abstractNum>
  <w:abstractNum w:abstractNumId="2">
    <w:nsid w:val="7152310E"/>
    <w:multiLevelType w:val="hybridMultilevel"/>
    <w:tmpl w:val="498AAEBA"/>
    <w:lvl w:ilvl="0" w:tplc="0C84828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1"/>
    <w:footnote w:id="0"/>
  </w:footnotePr>
  <w:endnotePr>
    <w:endnote w:id="-1"/>
    <w:endnote w:id="0"/>
  </w:endnotePr>
  <w:compat/>
  <w:rsids>
    <w:rsidRoot w:val="002B0CFF"/>
    <w:rsid w:val="00017F33"/>
    <w:rsid w:val="00073C00"/>
    <w:rsid w:val="00151775"/>
    <w:rsid w:val="001575D7"/>
    <w:rsid w:val="00216F82"/>
    <w:rsid w:val="002271C6"/>
    <w:rsid w:val="00233142"/>
    <w:rsid w:val="002A7EFB"/>
    <w:rsid w:val="002B0CFF"/>
    <w:rsid w:val="00486442"/>
    <w:rsid w:val="005302F7"/>
    <w:rsid w:val="005B2614"/>
    <w:rsid w:val="005C0E22"/>
    <w:rsid w:val="006C0950"/>
    <w:rsid w:val="006C7B69"/>
    <w:rsid w:val="0072162C"/>
    <w:rsid w:val="007603F8"/>
    <w:rsid w:val="007E1345"/>
    <w:rsid w:val="00861009"/>
    <w:rsid w:val="009B53EC"/>
    <w:rsid w:val="009E427D"/>
    <w:rsid w:val="00B1613B"/>
    <w:rsid w:val="00B524CA"/>
    <w:rsid w:val="00C56536"/>
    <w:rsid w:val="00CC67E8"/>
    <w:rsid w:val="00D660EC"/>
    <w:rsid w:val="00DA05BD"/>
    <w:rsid w:val="00DC129F"/>
  </w:rsids>
  <m:mathPr>
    <m:mathFont m:val="Impact"/>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EFB"/>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Paragraphedeliste">
    <w:name w:val="List Paragraph"/>
    <w:aliases w:val="Bullet Niv 1"/>
    <w:basedOn w:val="Normal"/>
    <w:uiPriority w:val="34"/>
    <w:qFormat/>
    <w:rsid w:val="002B0CFF"/>
    <w:pPr>
      <w:ind w:left="720"/>
      <w:contextualSpacing/>
      <w:jc w:val="both"/>
    </w:pPr>
    <w:rPr>
      <w:rFonts w:ascii="Times New Roman" w:eastAsia="Times New Roman" w:hAnsi="Times New Roman" w:cs="Times New Roman"/>
      <w:sz w:val="24"/>
      <w:szCs w:val="24"/>
    </w:rPr>
  </w:style>
  <w:style w:type="paragraph" w:styleId="Notedebasdepage">
    <w:name w:val="footnote text"/>
    <w:basedOn w:val="Normal"/>
    <w:link w:val="NotedebasdepageCar"/>
    <w:uiPriority w:val="99"/>
    <w:semiHidden/>
    <w:unhideWhenUsed/>
    <w:rsid w:val="006C095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C0950"/>
    <w:rPr>
      <w:sz w:val="20"/>
      <w:szCs w:val="20"/>
    </w:rPr>
  </w:style>
  <w:style w:type="character" w:styleId="Marquenotebasdepage">
    <w:name w:val="footnote reference"/>
    <w:basedOn w:val="Policepardfaut"/>
    <w:uiPriority w:val="99"/>
    <w:semiHidden/>
    <w:unhideWhenUsed/>
    <w:rsid w:val="006C0950"/>
    <w:rPr>
      <w:vertAlign w:val="superscript"/>
    </w:rPr>
  </w:style>
  <w:style w:type="paragraph" w:styleId="Pieddepage">
    <w:name w:val="footer"/>
    <w:basedOn w:val="Normal"/>
    <w:link w:val="PieddepageCar"/>
    <w:uiPriority w:val="99"/>
    <w:rsid w:val="00CC67E8"/>
    <w:pPr>
      <w:tabs>
        <w:tab w:val="center" w:pos="4536"/>
        <w:tab w:val="right" w:pos="9072"/>
      </w:tabs>
      <w:spacing w:after="0" w:line="240" w:lineRule="auto"/>
      <w:jc w:val="both"/>
    </w:pPr>
    <w:rPr>
      <w:rFonts w:ascii="Arial" w:eastAsia="Times New Roman" w:hAnsi="Arial" w:cs="Times New Roman"/>
      <w:szCs w:val="20"/>
      <w:lang w:eastAsia="fr-FR"/>
    </w:rPr>
  </w:style>
  <w:style w:type="character" w:customStyle="1" w:styleId="PieddepageCar">
    <w:name w:val="Pied de page Car"/>
    <w:basedOn w:val="Policepardfaut"/>
    <w:link w:val="Pieddepage"/>
    <w:uiPriority w:val="99"/>
    <w:rsid w:val="00CC67E8"/>
    <w:rPr>
      <w:rFonts w:ascii="Arial" w:eastAsia="Times New Roman" w:hAnsi="Arial" w:cs="Times New Roman"/>
      <w:szCs w:val="20"/>
      <w:lang w:eastAsia="fr-FR"/>
    </w:rPr>
  </w:style>
  <w:style w:type="paragraph" w:customStyle="1" w:styleId="Default">
    <w:name w:val="Default"/>
    <w:rsid w:val="00CC67E8"/>
    <w:pPr>
      <w:autoSpaceDE w:val="0"/>
      <w:autoSpaceDN w:val="0"/>
      <w:adjustRightInd w:val="0"/>
      <w:spacing w:after="0" w:line="240" w:lineRule="auto"/>
    </w:pPr>
    <w:rPr>
      <w:rFonts w:ascii="Arial" w:eastAsia="Times New Roman" w:hAnsi="Arial" w:cs="Arial"/>
      <w:color w:val="000000"/>
      <w:sz w:val="24"/>
      <w:szCs w:val="24"/>
    </w:rPr>
  </w:style>
  <w:style w:type="paragraph" w:styleId="En-tte">
    <w:name w:val="header"/>
    <w:basedOn w:val="Normal"/>
    <w:link w:val="En-tteCar"/>
    <w:uiPriority w:val="99"/>
    <w:semiHidden/>
    <w:unhideWhenUsed/>
    <w:rsid w:val="00C5653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56536"/>
  </w:style>
</w:styles>
</file>

<file path=word/webSettings.xml><?xml version="1.0" encoding="utf-8"?>
<w:webSettings xmlns:r="http://schemas.openxmlformats.org/officeDocument/2006/relationships" xmlns:w="http://schemas.openxmlformats.org/wordprocessingml/2006/main">
  <w:divs>
    <w:div w:id="323123534">
      <w:bodyDiv w:val="1"/>
      <w:marLeft w:val="0"/>
      <w:marRight w:val="0"/>
      <w:marTop w:val="0"/>
      <w:marBottom w:val="0"/>
      <w:divBdr>
        <w:top w:val="none" w:sz="0" w:space="0" w:color="auto"/>
        <w:left w:val="none" w:sz="0" w:space="0" w:color="auto"/>
        <w:bottom w:val="none" w:sz="0" w:space="0" w:color="auto"/>
        <w:right w:val="none" w:sz="0" w:space="0" w:color="auto"/>
      </w:divBdr>
    </w:div>
    <w:div w:id="65368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2647</Characters>
  <Application>Microsoft Macintosh Word</Application>
  <DocSecurity>0</DocSecurity>
  <Lines>22</Lines>
  <Paragraphs>5</Paragraphs>
  <ScaleCrop>false</ScaleCrop>
  <Company>MSS</Company>
  <LinksUpToDate>false</LinksUpToDate>
  <CharactersWithSpaces>3250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vpajevic</dc:creator>
  <cp:keywords/>
  <dc:description/>
  <cp:lastModifiedBy>crouzet</cp:lastModifiedBy>
  <cp:revision>2</cp:revision>
  <dcterms:created xsi:type="dcterms:W3CDTF">2014-04-09T13:01:00Z</dcterms:created>
  <dcterms:modified xsi:type="dcterms:W3CDTF">2014-04-09T13:01:00Z</dcterms:modified>
</cp:coreProperties>
</file>